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964" w:tblpY="797"/>
        <w:tblOverlap w:val="neve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0"/>
        <w:gridCol w:w="1795"/>
      </w:tblGrid>
      <w:tr w:rsidR="00822C9D" w14:paraId="11331748" w14:textId="77777777" w:rsidTr="00822C9D">
        <w:trPr>
          <w:trHeight w:val="93"/>
        </w:trPr>
        <w:tc>
          <w:tcPr>
            <w:tcW w:w="6826" w:type="dxa"/>
            <w:tcBorders>
              <w:top w:val="single" w:sz="4" w:space="0" w:color="auto"/>
              <w:left w:val="single" w:sz="4" w:space="0" w:color="auto"/>
              <w:bottom w:val="single" w:sz="4" w:space="0" w:color="auto"/>
              <w:right w:val="single" w:sz="4" w:space="0" w:color="auto"/>
            </w:tcBorders>
            <w:hideMark/>
          </w:tcPr>
          <w:p w14:paraId="32918D3D" w14:textId="77777777" w:rsidR="00822C9D" w:rsidRDefault="00822C9D">
            <w:pPr>
              <w:ind w:firstLineChars="1400" w:firstLine="3080"/>
              <w:rPr>
                <w:rFonts w:asciiTheme="minorEastAsia" w:hAnsiTheme="minorEastAsia"/>
                <w:b/>
                <w:sz w:val="22"/>
                <w:szCs w:val="22"/>
              </w:rPr>
            </w:pPr>
            <w:r>
              <w:rPr>
                <w:rFonts w:asciiTheme="minorEastAsia" w:hAnsiTheme="minorEastAsia" w:hint="eastAsia"/>
                <w:b/>
                <w:sz w:val="22"/>
                <w:szCs w:val="22"/>
              </w:rPr>
              <w:t>具体内容</w:t>
            </w:r>
          </w:p>
        </w:tc>
        <w:tc>
          <w:tcPr>
            <w:tcW w:w="1794" w:type="dxa"/>
            <w:tcBorders>
              <w:top w:val="single" w:sz="4" w:space="0" w:color="auto"/>
              <w:left w:val="single" w:sz="4" w:space="0" w:color="auto"/>
              <w:bottom w:val="single" w:sz="4" w:space="0" w:color="auto"/>
              <w:right w:val="single" w:sz="4" w:space="0" w:color="auto"/>
            </w:tcBorders>
            <w:hideMark/>
          </w:tcPr>
          <w:p w14:paraId="14E430DC" w14:textId="77777777" w:rsidR="00822C9D" w:rsidRDefault="00822C9D">
            <w:pPr>
              <w:ind w:firstLineChars="300" w:firstLine="660"/>
              <w:rPr>
                <w:rFonts w:asciiTheme="minorEastAsia" w:hAnsiTheme="minorEastAsia"/>
                <w:b/>
                <w:sz w:val="22"/>
                <w:szCs w:val="22"/>
              </w:rPr>
            </w:pPr>
            <w:r>
              <w:rPr>
                <w:rFonts w:asciiTheme="minorEastAsia" w:hAnsiTheme="minorEastAsia" w:hint="eastAsia"/>
                <w:b/>
                <w:sz w:val="22"/>
                <w:szCs w:val="22"/>
              </w:rPr>
              <w:t>师资</w:t>
            </w:r>
          </w:p>
        </w:tc>
      </w:tr>
      <w:tr w:rsidR="00822C9D" w14:paraId="15B856A6" w14:textId="77777777" w:rsidTr="00822C9D">
        <w:trPr>
          <w:trHeight w:val="5808"/>
        </w:trPr>
        <w:tc>
          <w:tcPr>
            <w:tcW w:w="6826" w:type="dxa"/>
            <w:tcBorders>
              <w:top w:val="single" w:sz="4" w:space="0" w:color="auto"/>
              <w:left w:val="single" w:sz="4" w:space="0" w:color="auto"/>
              <w:bottom w:val="single" w:sz="4" w:space="0" w:color="auto"/>
              <w:right w:val="single" w:sz="4" w:space="0" w:color="auto"/>
            </w:tcBorders>
            <w:hideMark/>
          </w:tcPr>
          <w:p w14:paraId="7010D0D6" w14:textId="77777777" w:rsidR="00822C9D" w:rsidRDefault="00822C9D">
            <w:pPr>
              <w:widowControl/>
              <w:ind w:leftChars="-10" w:left="419" w:hangingChars="200" w:hanging="440"/>
              <w:jc w:val="left"/>
              <w:rPr>
                <w:rFonts w:asciiTheme="minorEastAsia" w:hAnsiTheme="minorEastAsia"/>
                <w:b/>
                <w:bCs/>
                <w:sz w:val="22"/>
                <w:szCs w:val="22"/>
              </w:rPr>
            </w:pPr>
            <w:proofErr w:type="gramStart"/>
            <w:r>
              <w:rPr>
                <w:rFonts w:asciiTheme="minorEastAsia" w:hAnsiTheme="minorEastAsia" w:hint="eastAsia"/>
                <w:b/>
                <w:bCs/>
                <w:sz w:val="22"/>
                <w:szCs w:val="22"/>
              </w:rPr>
              <w:t>一</w:t>
            </w:r>
            <w:proofErr w:type="gramEnd"/>
            <w:r>
              <w:rPr>
                <w:rFonts w:asciiTheme="minorEastAsia" w:hAnsiTheme="minorEastAsia" w:hint="eastAsia"/>
                <w:b/>
                <w:bCs/>
                <w:sz w:val="22"/>
                <w:szCs w:val="22"/>
              </w:rPr>
              <w:t>.</w:t>
            </w:r>
            <w:r>
              <w:rPr>
                <w:rFonts w:asciiTheme="minorEastAsia" w:hAnsiTheme="minorEastAsia" w:hint="eastAsia"/>
                <w:b/>
                <w:bCs/>
                <w:spacing w:val="-6"/>
                <w:sz w:val="22"/>
                <w:szCs w:val="22"/>
              </w:rPr>
              <w:t>高校及科研院所科技成果转化及科研经费管理改革相关政策文件解读：</w:t>
            </w:r>
          </w:p>
          <w:p w14:paraId="50289DF9"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1.习近平在中国科学院第十九次院士大会、中国工程院第十四次院士大会开幕会上重要讲话精神解读；</w:t>
            </w:r>
          </w:p>
          <w:p w14:paraId="41413997"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2.《中华人民共和国促进科技成果转化法》《中华人民共和国促进科技成果转化法若干规定》《促进科技成果转移转化行动方案》解读；</w:t>
            </w:r>
          </w:p>
          <w:p w14:paraId="7E4B316A"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3.《关于扩大高校和科研院所科研相关自主权的若干意见》解读；</w:t>
            </w:r>
          </w:p>
          <w:p w14:paraId="25B3AE5D"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4.中共中央办公厅、国务院办公厅《关于深化项目评审、人才评价、机构评估改革的意见》、国务院《关于优化科研管理提升科研绩效若干措施的通知》（国发〔2018〕25号）解读；</w:t>
            </w:r>
          </w:p>
          <w:p w14:paraId="7934ED30"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5.《关于进一步完善中央财政科研项目资金管理等政策的若干意见》、财政部《关于修改〈事业单位国有资产管理暂行办法〉的决定》对科技成果转化有关国有资产管理系列新规定解读；</w:t>
            </w:r>
          </w:p>
          <w:p w14:paraId="7E7C4E9C"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6.教育部《高等学校科技成果转化和技术转移基地认定暂行办法》与科技成果转化服务平台的建设；</w:t>
            </w:r>
          </w:p>
          <w:p w14:paraId="01E0A066"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7.《国家重点研发计划资金管理办法》财科教113号文件及配套实施细则（国</w:t>
            </w:r>
            <w:proofErr w:type="gramStart"/>
            <w:r>
              <w:rPr>
                <w:rFonts w:asciiTheme="minorEastAsia" w:hAnsiTheme="minorEastAsia" w:hint="eastAsia"/>
                <w:sz w:val="22"/>
                <w:szCs w:val="22"/>
              </w:rPr>
              <w:t>科发资〔2017〕</w:t>
            </w:r>
            <w:proofErr w:type="gramEnd"/>
            <w:r>
              <w:rPr>
                <w:rFonts w:asciiTheme="minorEastAsia" w:hAnsiTheme="minorEastAsia" w:hint="eastAsia"/>
                <w:sz w:val="22"/>
                <w:szCs w:val="22"/>
              </w:rPr>
              <w:t>261号）解读，新管理办法对国家重点研发计划重点专项预算编制、专项审计、专项财务验收和绩效评价的新要求。</w:t>
            </w:r>
          </w:p>
        </w:tc>
        <w:tc>
          <w:tcPr>
            <w:tcW w:w="1794" w:type="dxa"/>
            <w:tcBorders>
              <w:top w:val="single" w:sz="4" w:space="0" w:color="auto"/>
              <w:left w:val="single" w:sz="4" w:space="0" w:color="auto"/>
              <w:bottom w:val="single" w:sz="4" w:space="0" w:color="auto"/>
              <w:right w:val="single" w:sz="4" w:space="0" w:color="auto"/>
            </w:tcBorders>
          </w:tcPr>
          <w:p w14:paraId="217627EC" w14:textId="77777777" w:rsidR="00822C9D" w:rsidRDefault="00822C9D">
            <w:pPr>
              <w:widowControl/>
              <w:jc w:val="left"/>
              <w:rPr>
                <w:rFonts w:asciiTheme="minorEastAsia" w:hAnsiTheme="minorEastAsia"/>
                <w:sz w:val="22"/>
                <w:szCs w:val="22"/>
              </w:rPr>
            </w:pPr>
            <w:r>
              <w:rPr>
                <w:rFonts w:asciiTheme="minorEastAsia" w:hAnsiTheme="minorEastAsia" w:hint="eastAsia"/>
                <w:b/>
                <w:bCs/>
                <w:sz w:val="22"/>
                <w:szCs w:val="22"/>
              </w:rPr>
              <w:t xml:space="preserve">陈彦 </w:t>
            </w:r>
            <w:r>
              <w:rPr>
                <w:rFonts w:asciiTheme="minorEastAsia" w:hAnsiTheme="minorEastAsia" w:hint="eastAsia"/>
                <w:sz w:val="22"/>
                <w:szCs w:val="22"/>
              </w:rPr>
              <w:t xml:space="preserve"> </w:t>
            </w:r>
          </w:p>
          <w:p w14:paraId="4CE64B6C"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科技部火炬中心技术市场处副处长</w:t>
            </w:r>
          </w:p>
          <w:p w14:paraId="39E8520A" w14:textId="77777777" w:rsidR="00822C9D" w:rsidRDefault="00822C9D">
            <w:pPr>
              <w:widowControl/>
              <w:jc w:val="left"/>
              <w:rPr>
                <w:rFonts w:asciiTheme="minorEastAsia" w:hAnsiTheme="minorEastAsia"/>
                <w:sz w:val="22"/>
                <w:szCs w:val="22"/>
              </w:rPr>
            </w:pPr>
          </w:p>
          <w:p w14:paraId="20A02160" w14:textId="77777777" w:rsidR="00822C9D" w:rsidRDefault="00822C9D">
            <w:pPr>
              <w:widowControl/>
              <w:jc w:val="left"/>
              <w:rPr>
                <w:rFonts w:asciiTheme="minorEastAsia" w:hAnsiTheme="minorEastAsia"/>
                <w:b/>
                <w:bCs/>
                <w:sz w:val="22"/>
                <w:szCs w:val="22"/>
              </w:rPr>
            </w:pPr>
            <w:proofErr w:type="gramStart"/>
            <w:r>
              <w:rPr>
                <w:rFonts w:asciiTheme="minorEastAsia" w:hAnsiTheme="minorEastAsia" w:hint="eastAsia"/>
                <w:b/>
                <w:bCs/>
                <w:sz w:val="22"/>
                <w:szCs w:val="22"/>
              </w:rPr>
              <w:t>吴寿仁</w:t>
            </w:r>
            <w:proofErr w:type="gramEnd"/>
            <w:r>
              <w:rPr>
                <w:rFonts w:asciiTheme="minorEastAsia" w:hAnsiTheme="minorEastAsia" w:hint="eastAsia"/>
                <w:b/>
                <w:bCs/>
                <w:sz w:val="22"/>
                <w:szCs w:val="22"/>
              </w:rPr>
              <w:t xml:space="preserve">  教授级高级工程师</w:t>
            </w:r>
          </w:p>
          <w:p w14:paraId="3A2D2E40"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原上海市高新技术成果转化服务中心主任、</w:t>
            </w:r>
          </w:p>
          <w:p w14:paraId="725426F0" w14:textId="77777777" w:rsidR="00822C9D" w:rsidRDefault="00822C9D">
            <w:pPr>
              <w:widowControl/>
              <w:ind w:firstLineChars="100" w:firstLine="220"/>
              <w:jc w:val="left"/>
              <w:rPr>
                <w:rFonts w:asciiTheme="minorEastAsia" w:hAnsiTheme="minorEastAsia"/>
                <w:sz w:val="22"/>
                <w:szCs w:val="22"/>
              </w:rPr>
            </w:pPr>
          </w:p>
          <w:p w14:paraId="2166AF4A" w14:textId="77777777" w:rsidR="00822C9D" w:rsidRDefault="00822C9D">
            <w:pPr>
              <w:widowControl/>
              <w:jc w:val="left"/>
              <w:rPr>
                <w:rFonts w:asciiTheme="minorEastAsia" w:hAnsiTheme="minorEastAsia"/>
                <w:b/>
                <w:bCs/>
                <w:sz w:val="22"/>
                <w:szCs w:val="22"/>
              </w:rPr>
            </w:pPr>
            <w:r>
              <w:rPr>
                <w:rFonts w:asciiTheme="minorEastAsia" w:hAnsiTheme="minorEastAsia" w:hint="eastAsia"/>
                <w:b/>
                <w:bCs/>
                <w:sz w:val="22"/>
                <w:szCs w:val="22"/>
              </w:rPr>
              <w:t>任天斌  教授</w:t>
            </w:r>
          </w:p>
          <w:p w14:paraId="7B5F6526"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同济大学材料科学与工程学院教授，博士生导师</w:t>
            </w:r>
          </w:p>
        </w:tc>
      </w:tr>
      <w:tr w:rsidR="00822C9D" w14:paraId="6346314D" w14:textId="77777777" w:rsidTr="00822C9D">
        <w:trPr>
          <w:trHeight w:val="1786"/>
        </w:trPr>
        <w:tc>
          <w:tcPr>
            <w:tcW w:w="6826" w:type="dxa"/>
            <w:tcBorders>
              <w:top w:val="single" w:sz="4" w:space="0" w:color="auto"/>
              <w:left w:val="single" w:sz="4" w:space="0" w:color="auto"/>
              <w:bottom w:val="single" w:sz="4" w:space="0" w:color="auto"/>
              <w:right w:val="single" w:sz="4" w:space="0" w:color="auto"/>
            </w:tcBorders>
            <w:hideMark/>
          </w:tcPr>
          <w:p w14:paraId="5BE0CAE3" w14:textId="77777777" w:rsidR="00822C9D" w:rsidRDefault="00822C9D">
            <w:pPr>
              <w:widowControl/>
              <w:jc w:val="left"/>
              <w:rPr>
                <w:rFonts w:asciiTheme="minorEastAsia" w:hAnsiTheme="minorEastAsia"/>
                <w:b/>
                <w:bCs/>
                <w:sz w:val="22"/>
                <w:szCs w:val="22"/>
              </w:rPr>
            </w:pPr>
            <w:r>
              <w:rPr>
                <w:rFonts w:asciiTheme="minorEastAsia" w:hAnsiTheme="minorEastAsia" w:hint="eastAsia"/>
                <w:b/>
                <w:bCs/>
                <w:sz w:val="22"/>
                <w:szCs w:val="22"/>
              </w:rPr>
              <w:t>二.高校及科研院所科技成果转化实务操作：</w:t>
            </w:r>
          </w:p>
          <w:p w14:paraId="59D4433A"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1.高校及科研院所科技成果转化工作面临的形势和任务；</w:t>
            </w:r>
          </w:p>
          <w:p w14:paraId="3F23DCF7"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2.促进科技成果转化工作的思路和策略；</w:t>
            </w:r>
          </w:p>
          <w:p w14:paraId="5DE0C1DA"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3.专利分析、布局和导航概述及其在科研工作中的应用；</w:t>
            </w:r>
          </w:p>
          <w:p w14:paraId="1279A509"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4.知识产权转移法律问题及操作模式；</w:t>
            </w:r>
          </w:p>
          <w:p w14:paraId="5FBCFFC4"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5.高校及科研院所科技成果转化的有益经验与做法。</w:t>
            </w:r>
          </w:p>
        </w:tc>
        <w:tc>
          <w:tcPr>
            <w:tcW w:w="1794" w:type="dxa"/>
            <w:tcBorders>
              <w:top w:val="single" w:sz="4" w:space="0" w:color="auto"/>
              <w:left w:val="single" w:sz="4" w:space="0" w:color="auto"/>
              <w:bottom w:val="single" w:sz="4" w:space="0" w:color="auto"/>
              <w:right w:val="single" w:sz="4" w:space="0" w:color="auto"/>
            </w:tcBorders>
            <w:hideMark/>
          </w:tcPr>
          <w:p w14:paraId="70ACF690" w14:textId="77777777" w:rsidR="00822C9D" w:rsidRDefault="00822C9D">
            <w:pPr>
              <w:rPr>
                <w:rFonts w:asciiTheme="minorEastAsia" w:hAnsiTheme="minorEastAsia"/>
                <w:sz w:val="22"/>
                <w:szCs w:val="22"/>
              </w:rPr>
            </w:pPr>
            <w:r>
              <w:rPr>
                <w:rFonts w:asciiTheme="minorEastAsia" w:hAnsiTheme="minorEastAsia" w:hint="eastAsia"/>
                <w:b/>
                <w:bCs/>
                <w:sz w:val="22"/>
                <w:szCs w:val="22"/>
              </w:rPr>
              <w:t>朱军文</w:t>
            </w:r>
            <w:r>
              <w:rPr>
                <w:rFonts w:asciiTheme="minorEastAsia" w:hAnsiTheme="minorEastAsia" w:hint="eastAsia"/>
                <w:sz w:val="22"/>
                <w:szCs w:val="22"/>
              </w:rPr>
              <w:t xml:space="preserve">  </w:t>
            </w:r>
            <w:r>
              <w:rPr>
                <w:rFonts w:asciiTheme="minorEastAsia" w:hAnsiTheme="minorEastAsia" w:hint="eastAsia"/>
                <w:b/>
                <w:bCs/>
                <w:sz w:val="22"/>
                <w:szCs w:val="22"/>
              </w:rPr>
              <w:t>教授</w:t>
            </w:r>
          </w:p>
          <w:p w14:paraId="367BF5E3" w14:textId="77777777" w:rsidR="00822C9D" w:rsidRDefault="00822C9D">
            <w:r>
              <w:rPr>
                <w:rFonts w:asciiTheme="minorEastAsia" w:hAnsiTheme="minorEastAsia" w:hint="eastAsia"/>
                <w:sz w:val="22"/>
                <w:szCs w:val="22"/>
              </w:rPr>
              <w:t>华东师范大学</w:t>
            </w:r>
            <w:r>
              <w:rPr>
                <w:rFonts w:hint="eastAsia"/>
              </w:rPr>
              <w:t>教育经济研究所</w:t>
            </w:r>
          </w:p>
          <w:p w14:paraId="4C94DDCE" w14:textId="77777777" w:rsidR="00822C9D" w:rsidRDefault="00822C9D">
            <w:proofErr w:type="gramStart"/>
            <w:r>
              <w:rPr>
                <w:rFonts w:hint="eastAsia"/>
                <w:b/>
                <w:bCs/>
              </w:rPr>
              <w:t>宋河发</w:t>
            </w:r>
            <w:proofErr w:type="gramEnd"/>
            <w:r>
              <w:t xml:space="preserve">  </w:t>
            </w:r>
            <w:r>
              <w:rPr>
                <w:rFonts w:hint="eastAsia"/>
                <w:b/>
                <w:bCs/>
              </w:rPr>
              <w:t>研究员</w:t>
            </w:r>
          </w:p>
          <w:p w14:paraId="060E0799" w14:textId="77777777" w:rsidR="00822C9D" w:rsidRDefault="00822C9D">
            <w:pPr>
              <w:rPr>
                <w:rFonts w:asciiTheme="minorEastAsia" w:hAnsiTheme="minorEastAsia"/>
                <w:sz w:val="22"/>
                <w:szCs w:val="22"/>
              </w:rPr>
            </w:pPr>
            <w:r>
              <w:rPr>
                <w:rFonts w:hint="eastAsia"/>
              </w:rPr>
              <w:t>中科院知识产权研究培训中心副主任。</w:t>
            </w:r>
          </w:p>
        </w:tc>
      </w:tr>
      <w:tr w:rsidR="00822C9D" w14:paraId="6BBBD3D7" w14:textId="77777777" w:rsidTr="00822C9D">
        <w:trPr>
          <w:trHeight w:val="3561"/>
        </w:trPr>
        <w:tc>
          <w:tcPr>
            <w:tcW w:w="6826" w:type="dxa"/>
            <w:tcBorders>
              <w:top w:val="single" w:sz="4" w:space="0" w:color="auto"/>
              <w:left w:val="single" w:sz="4" w:space="0" w:color="auto"/>
              <w:bottom w:val="single" w:sz="4" w:space="0" w:color="auto"/>
              <w:right w:val="single" w:sz="4" w:space="0" w:color="auto"/>
            </w:tcBorders>
            <w:hideMark/>
          </w:tcPr>
          <w:p w14:paraId="16DE4412" w14:textId="77777777" w:rsidR="00822C9D" w:rsidRDefault="00822C9D">
            <w:pPr>
              <w:widowControl/>
              <w:jc w:val="left"/>
              <w:rPr>
                <w:rFonts w:asciiTheme="minorEastAsia" w:hAnsiTheme="minorEastAsia"/>
                <w:b/>
                <w:bCs/>
                <w:sz w:val="22"/>
                <w:szCs w:val="22"/>
              </w:rPr>
            </w:pPr>
            <w:r>
              <w:rPr>
                <w:rFonts w:asciiTheme="minorEastAsia" w:hAnsiTheme="minorEastAsia" w:hint="eastAsia"/>
                <w:b/>
                <w:bCs/>
                <w:sz w:val="22"/>
                <w:szCs w:val="22"/>
              </w:rPr>
              <w:t>三.高校及科研院所科研经费申请、使用、核算及管理：</w:t>
            </w:r>
          </w:p>
          <w:p w14:paraId="67E62BFF"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1.新形势下我国高校及科研院所科研经费运行机制及其政策调整；</w:t>
            </w:r>
          </w:p>
          <w:p w14:paraId="0432BE17"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2.高校及科研院所项目经费使用“包干制”改革；</w:t>
            </w:r>
          </w:p>
          <w:p w14:paraId="29B333C6"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3.科研项目预算编制原则、方法和技巧，科技项目财政经费预算编制（预算编报指南（修订版）的主要内容及要求）；</w:t>
            </w:r>
          </w:p>
          <w:p w14:paraId="5AD60E57"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4.高校及科研院所科研经费报账管理；</w:t>
            </w:r>
          </w:p>
          <w:p w14:paraId="60F11085"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5.高校及科研院所科研经费审计的总体要求、政策依据；</w:t>
            </w:r>
          </w:p>
          <w:p w14:paraId="1B13B442"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6.科研经费结题审计要点、审计相关材料的准备及审计过程中的注意事项；</w:t>
            </w:r>
          </w:p>
          <w:p w14:paraId="5DF6F7B4" w14:textId="77777777" w:rsidR="00822C9D" w:rsidRDefault="00822C9D">
            <w:pPr>
              <w:widowControl/>
              <w:ind w:left="220" w:hangingChars="100" w:hanging="220"/>
              <w:jc w:val="left"/>
              <w:rPr>
                <w:rFonts w:asciiTheme="minorEastAsia" w:hAnsiTheme="minorEastAsia"/>
                <w:sz w:val="22"/>
                <w:szCs w:val="22"/>
              </w:rPr>
            </w:pPr>
            <w:r>
              <w:rPr>
                <w:rFonts w:asciiTheme="minorEastAsia" w:hAnsiTheme="minorEastAsia" w:hint="eastAsia"/>
                <w:sz w:val="22"/>
                <w:szCs w:val="22"/>
              </w:rPr>
              <w:t>7.国家科研项目资金监督管理（项目执行期内监督检查方法和内容、各重点专项经费会计核算方法和新要求、监督检查结果的应用等）；</w:t>
            </w:r>
          </w:p>
          <w:p w14:paraId="6689A947" w14:textId="77777777" w:rsidR="00822C9D" w:rsidRDefault="00822C9D">
            <w:pPr>
              <w:widowControl/>
              <w:jc w:val="left"/>
              <w:rPr>
                <w:rFonts w:asciiTheme="minorEastAsia" w:hAnsiTheme="minorEastAsia"/>
                <w:sz w:val="22"/>
                <w:szCs w:val="22"/>
              </w:rPr>
            </w:pPr>
            <w:r>
              <w:rPr>
                <w:rFonts w:asciiTheme="minorEastAsia" w:hAnsiTheme="minorEastAsia" w:hint="eastAsia"/>
                <w:sz w:val="22"/>
                <w:szCs w:val="22"/>
              </w:rPr>
              <w:t>8.高校及科研院所财务内控新政策与专项经费会计核算政策实操讲解答疑。</w:t>
            </w:r>
          </w:p>
        </w:tc>
        <w:tc>
          <w:tcPr>
            <w:tcW w:w="1794" w:type="dxa"/>
            <w:tcBorders>
              <w:top w:val="single" w:sz="4" w:space="0" w:color="auto"/>
              <w:left w:val="single" w:sz="4" w:space="0" w:color="auto"/>
              <w:bottom w:val="single" w:sz="4" w:space="0" w:color="auto"/>
              <w:right w:val="single" w:sz="4" w:space="0" w:color="auto"/>
            </w:tcBorders>
          </w:tcPr>
          <w:p w14:paraId="4A2FF06B" w14:textId="77777777" w:rsidR="00822C9D" w:rsidRDefault="00822C9D">
            <w:pPr>
              <w:rPr>
                <w:rFonts w:asciiTheme="minorEastAsia" w:hAnsiTheme="minorEastAsia"/>
                <w:b/>
                <w:bCs/>
                <w:sz w:val="22"/>
                <w:szCs w:val="22"/>
              </w:rPr>
            </w:pPr>
            <w:proofErr w:type="gramStart"/>
            <w:r>
              <w:rPr>
                <w:rFonts w:asciiTheme="minorEastAsia" w:hAnsiTheme="minorEastAsia" w:hint="eastAsia"/>
                <w:b/>
                <w:bCs/>
                <w:sz w:val="22"/>
                <w:szCs w:val="22"/>
              </w:rPr>
              <w:t>纪开芳</w:t>
            </w:r>
            <w:proofErr w:type="gramEnd"/>
            <w:r>
              <w:rPr>
                <w:rFonts w:asciiTheme="minorEastAsia" w:hAnsiTheme="minorEastAsia" w:hint="eastAsia"/>
                <w:b/>
                <w:bCs/>
                <w:sz w:val="22"/>
                <w:szCs w:val="22"/>
              </w:rPr>
              <w:t xml:space="preserve">  教授</w:t>
            </w:r>
          </w:p>
          <w:p w14:paraId="2C271ABB" w14:textId="77777777" w:rsidR="00822C9D" w:rsidRDefault="00822C9D">
            <w:pPr>
              <w:rPr>
                <w:rFonts w:asciiTheme="minorEastAsia" w:hAnsiTheme="minorEastAsia"/>
                <w:sz w:val="22"/>
                <w:szCs w:val="22"/>
              </w:rPr>
            </w:pPr>
            <w:r>
              <w:rPr>
                <w:rFonts w:asciiTheme="minorEastAsia" w:hAnsiTheme="minorEastAsia" w:hint="eastAsia"/>
                <w:sz w:val="22"/>
                <w:szCs w:val="22"/>
              </w:rPr>
              <w:t>云南大学会计学院，正高级会计师，国家科技项目专家库成员</w:t>
            </w:r>
          </w:p>
          <w:p w14:paraId="733933F3" w14:textId="77777777" w:rsidR="00822C9D" w:rsidRDefault="00822C9D">
            <w:pPr>
              <w:rPr>
                <w:rFonts w:asciiTheme="minorEastAsia" w:hAnsiTheme="minorEastAsia"/>
                <w:sz w:val="22"/>
                <w:szCs w:val="22"/>
              </w:rPr>
            </w:pPr>
          </w:p>
          <w:p w14:paraId="748ADE12" w14:textId="77777777" w:rsidR="00822C9D" w:rsidRDefault="00822C9D">
            <w:pPr>
              <w:rPr>
                <w:rFonts w:asciiTheme="minorEastAsia" w:hAnsiTheme="minorEastAsia"/>
                <w:sz w:val="22"/>
                <w:szCs w:val="22"/>
              </w:rPr>
            </w:pPr>
            <w:r>
              <w:rPr>
                <w:rFonts w:asciiTheme="minorEastAsia" w:hAnsiTheme="minorEastAsia" w:hint="eastAsia"/>
                <w:b/>
                <w:bCs/>
                <w:sz w:val="22"/>
                <w:szCs w:val="22"/>
              </w:rPr>
              <w:t>王健萍</w:t>
            </w:r>
            <w:r>
              <w:rPr>
                <w:rFonts w:asciiTheme="minorEastAsia" w:hAnsiTheme="minorEastAsia" w:hint="eastAsia"/>
                <w:sz w:val="22"/>
                <w:szCs w:val="22"/>
              </w:rPr>
              <w:t xml:space="preserve">  </w:t>
            </w:r>
          </w:p>
          <w:p w14:paraId="0E764EDB" w14:textId="77777777" w:rsidR="00822C9D" w:rsidRDefault="00822C9D">
            <w:pPr>
              <w:rPr>
                <w:rFonts w:asciiTheme="minorEastAsia" w:hAnsiTheme="minorEastAsia"/>
                <w:sz w:val="22"/>
                <w:szCs w:val="22"/>
              </w:rPr>
            </w:pPr>
            <w:r>
              <w:rPr>
                <w:rFonts w:asciiTheme="minorEastAsia" w:hAnsiTheme="minorEastAsia" w:hint="eastAsia"/>
                <w:sz w:val="22"/>
                <w:szCs w:val="22"/>
              </w:rPr>
              <w:t>国家科技计划财务专家,原北京中医药大学财务处长、审计处长</w:t>
            </w:r>
          </w:p>
        </w:tc>
      </w:tr>
    </w:tbl>
    <w:p w14:paraId="73CC761A" w14:textId="77777777" w:rsidR="0055289E" w:rsidRDefault="00822C9D" w:rsidP="0055289E">
      <w:pPr>
        <w:pStyle w:val="a7"/>
        <w:widowControl/>
        <w:spacing w:line="354" w:lineRule="exact"/>
        <w:rPr>
          <w:rFonts w:ascii="方正小标宋简体" w:eastAsia="方正小标宋简体" w:cstheme="minorBidi"/>
          <w:bCs/>
          <w:kern w:val="2"/>
          <w:sz w:val="32"/>
          <w:szCs w:val="32"/>
        </w:rPr>
      </w:pPr>
      <w:r>
        <w:rPr>
          <w:rFonts w:ascii="方正小标宋简体" w:eastAsia="方正小标宋简体" w:cstheme="minorBidi" w:hint="eastAsia"/>
          <w:bCs/>
          <w:kern w:val="2"/>
          <w:sz w:val="32"/>
          <w:szCs w:val="32"/>
        </w:rPr>
        <w:t>附件1</w:t>
      </w:r>
      <w:bookmarkStart w:id="0" w:name="_GoBack"/>
      <w:bookmarkEnd w:id="0"/>
    </w:p>
    <w:p w14:paraId="1FD61A2F" w14:textId="186EF57D" w:rsidR="00822C9D" w:rsidRDefault="00822C9D" w:rsidP="00822C9D">
      <w:pPr>
        <w:pStyle w:val="a7"/>
        <w:widowControl/>
        <w:spacing w:line="354" w:lineRule="exact"/>
        <w:jc w:val="center"/>
        <w:rPr>
          <w:rFonts w:ascii="方正小标宋简体" w:eastAsia="方正小标宋简体" w:cstheme="minorBidi"/>
          <w:bCs/>
          <w:kern w:val="2"/>
          <w:sz w:val="32"/>
          <w:szCs w:val="32"/>
        </w:rPr>
      </w:pPr>
      <w:r>
        <w:rPr>
          <w:rFonts w:ascii="方正小标宋简体" w:eastAsia="方正小标宋简体" w:cstheme="minorBidi" w:hint="eastAsia"/>
          <w:bCs/>
          <w:kern w:val="2"/>
          <w:sz w:val="32"/>
          <w:szCs w:val="32"/>
        </w:rPr>
        <w:lastRenderedPageBreak/>
        <w:t>课程安排</w:t>
      </w:r>
    </w:p>
    <w:p w14:paraId="6BCA370D" w14:textId="77777777" w:rsidR="00822C9D" w:rsidRDefault="00822C9D" w:rsidP="00822C9D">
      <w:pPr>
        <w:ind w:firstLineChars="200" w:firstLine="440"/>
        <w:rPr>
          <w:rFonts w:ascii="仿宋_GB2312" w:eastAsia="仿宋_GB2312" w:hAnsi="宋体" w:cs="宋体"/>
          <w:kern w:val="0"/>
          <w:sz w:val="22"/>
          <w:szCs w:val="22"/>
          <w:lang w:bidi="ar"/>
        </w:rPr>
      </w:pPr>
      <w:r>
        <w:rPr>
          <w:rFonts w:ascii="仿宋_GB2312" w:eastAsia="仿宋_GB2312" w:hAnsi="宋体" w:cs="宋体" w:hint="eastAsia"/>
          <w:kern w:val="0"/>
          <w:sz w:val="22"/>
          <w:szCs w:val="22"/>
          <w:lang w:bidi="ar"/>
        </w:rPr>
        <w:t>注：各期培训班培训内容相同，将会根据实际情况调整师资，具体以报到通知为准。</w:t>
      </w:r>
    </w:p>
    <w:p w14:paraId="51152F73" w14:textId="77777777" w:rsidR="00C94CAF" w:rsidRPr="00822C9D" w:rsidRDefault="00C94CAF"/>
    <w:sectPr w:rsidR="00C94CAF" w:rsidRPr="00822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E91F8" w14:textId="77777777" w:rsidR="008708FC" w:rsidRDefault="008708FC" w:rsidP="00822C9D">
      <w:r>
        <w:separator/>
      </w:r>
    </w:p>
  </w:endnote>
  <w:endnote w:type="continuationSeparator" w:id="0">
    <w:p w14:paraId="246F9FF3" w14:textId="77777777" w:rsidR="008708FC" w:rsidRDefault="008708FC" w:rsidP="0082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7BB8D" w14:textId="77777777" w:rsidR="008708FC" w:rsidRDefault="008708FC" w:rsidP="00822C9D">
      <w:r>
        <w:separator/>
      </w:r>
    </w:p>
  </w:footnote>
  <w:footnote w:type="continuationSeparator" w:id="0">
    <w:p w14:paraId="4AB3B6E6" w14:textId="77777777" w:rsidR="008708FC" w:rsidRDefault="008708FC" w:rsidP="00822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AF"/>
    <w:rsid w:val="0055289E"/>
    <w:rsid w:val="00822C9D"/>
    <w:rsid w:val="008708FC"/>
    <w:rsid w:val="00C94CAF"/>
    <w:rsid w:val="00DD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1FF75"/>
  <w15:chartTrackingRefBased/>
  <w15:docId w15:val="{4633C147-43D2-4AA1-8A8A-96F6ABD5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C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C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2C9D"/>
    <w:rPr>
      <w:sz w:val="18"/>
      <w:szCs w:val="18"/>
    </w:rPr>
  </w:style>
  <w:style w:type="paragraph" w:styleId="a5">
    <w:name w:val="footer"/>
    <w:basedOn w:val="a"/>
    <w:link w:val="a6"/>
    <w:uiPriority w:val="99"/>
    <w:unhideWhenUsed/>
    <w:rsid w:val="00822C9D"/>
    <w:pPr>
      <w:tabs>
        <w:tab w:val="center" w:pos="4153"/>
        <w:tab w:val="right" w:pos="8306"/>
      </w:tabs>
      <w:snapToGrid w:val="0"/>
      <w:jc w:val="left"/>
    </w:pPr>
    <w:rPr>
      <w:sz w:val="18"/>
      <w:szCs w:val="18"/>
    </w:rPr>
  </w:style>
  <w:style w:type="character" w:customStyle="1" w:styleId="a6">
    <w:name w:val="页脚 字符"/>
    <w:basedOn w:val="a0"/>
    <w:link w:val="a5"/>
    <w:uiPriority w:val="99"/>
    <w:rsid w:val="00822C9D"/>
    <w:rPr>
      <w:sz w:val="18"/>
      <w:szCs w:val="18"/>
    </w:rPr>
  </w:style>
  <w:style w:type="paragraph" w:styleId="a7">
    <w:name w:val="Normal (Web)"/>
    <w:basedOn w:val="a"/>
    <w:semiHidden/>
    <w:unhideWhenUsed/>
    <w:qFormat/>
    <w:rsid w:val="00822C9D"/>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dc:creator>
  <cp:keywords/>
  <dc:description/>
  <cp:lastModifiedBy>jay L</cp:lastModifiedBy>
  <cp:revision>3</cp:revision>
  <dcterms:created xsi:type="dcterms:W3CDTF">2019-06-24T03:06:00Z</dcterms:created>
  <dcterms:modified xsi:type="dcterms:W3CDTF">2019-06-24T03:12:00Z</dcterms:modified>
</cp:coreProperties>
</file>