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课程安排</w:t>
      </w:r>
    </w:p>
    <w:tbl>
      <w:tblPr>
        <w:tblStyle w:val="3"/>
        <w:tblpPr w:vertAnchor="text" w:horzAnchor="page" w:tblpXSpec="center" w:tblpY="631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825"/>
        <w:gridCol w:w="4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0" w:lineRule="atLeas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时间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0" w:lineRule="atLeas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课程大纲</w:t>
            </w:r>
          </w:p>
        </w:tc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0" w:lineRule="atLeas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</w:t>
            </w:r>
          </w:p>
          <w:p>
            <w:pPr>
              <w:spacing w:line="360" w:lineRule="exact"/>
              <w:ind w:firstLine="90" w:firstLineChars="5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9：00—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:00</w:t>
            </w:r>
          </w:p>
          <w:p>
            <w:pPr>
              <w:spacing w:line="360" w:lineRule="exact"/>
              <w:ind w:firstLine="90" w:firstLineChars="5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全天报道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</w:t>
            </w:r>
          </w:p>
          <w:p>
            <w:pPr>
              <w:spacing w:line="360" w:lineRule="exact"/>
              <w:ind w:firstLine="90" w:firstLineChars="5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9:0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0—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12:00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/>
                <w:sz w:val="18"/>
                <w:szCs w:val="18"/>
              </w:rPr>
              <w:t>第一篇：</w:t>
            </w:r>
            <w:r>
              <w:rPr>
                <w:rFonts w:hint="eastAsia" w:ascii="仿宋_GB2312" w:hAnsi="仿宋_GB2312" w:eastAsia="仿宋_GB2312"/>
                <w:b/>
                <w:sz w:val="18"/>
                <w:szCs w:val="18"/>
              </w:rPr>
              <w:t>生涯唤醒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生涯意识唤醒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中学生涯课程整体方案设计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》</w:t>
            </w:r>
          </w:p>
        </w:tc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color w:val="000000"/>
                <w:sz w:val="18"/>
                <w:szCs w:val="18"/>
              </w:rPr>
              <w:t>生涯规划对中学生的重要意义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color w:val="000000"/>
                <w:sz w:val="18"/>
                <w:szCs w:val="18"/>
              </w:rPr>
              <w:t>生涯规划基本理论及方法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color w:val="000000"/>
                <w:sz w:val="18"/>
                <w:szCs w:val="18"/>
              </w:rPr>
              <w:t>生涯规划课程整体设计框架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17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00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宋体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/>
                <w:sz w:val="18"/>
                <w:szCs w:val="18"/>
              </w:rPr>
              <w:t>第二篇：自我探索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兴趣是最好的老师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请你理解我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</w:tc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用霍兰德兴趣理论帮助学生探索自我兴趣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霍兰德兴趣理论在专业选择中的实操应用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用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MBTI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性格理论帮助学生探索自我性格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MBTI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性格理论在专业选择中的实操应用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12:00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能力提升宝典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做自己人生的导演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中学生涯问题应对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</w:tc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通过能力三核帮助学生梳理自我能力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找到提升能力的方法，找到核心优势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通过价值观梳理，帮助学生找到价值锚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宋体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针对中学生常见的生涯问题提出解决办法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17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00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/>
                <w:sz w:val="18"/>
                <w:szCs w:val="18"/>
              </w:rPr>
              <w:t>第三篇：外部探索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大学面面观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专业全解析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</w:tc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对全国大学进行整体梳理，掌握大学层级框架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从多个维度科学认识大学，对大学的专业设置进行全面解析，破解对大学专业认识的误区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12:00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高考新政深入解读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科学填报高考志愿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</w:tc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高考新政的重要变化及其应对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用科学理念和方法指导学生进行高考志愿填报用案例进行实战指导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月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17</w:t>
            </w:r>
            <w:r>
              <w:rPr>
                <w:rFonts w:hint="eastAsia" w:ascii="Times New Roman" w:hAnsi="仿宋_GB2312" w:eastAsia="仿宋_GB2312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00</w:t>
            </w:r>
          </w:p>
        </w:tc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  <w:b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b/>
                <w:sz w:val="18"/>
                <w:szCs w:val="18"/>
              </w:rPr>
              <w:t>第四篇：决策与行动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升学路径选择与实现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《</w:t>
            </w:r>
            <w:r>
              <w:rPr>
                <w:rFonts w:ascii="仿宋_GB2312" w:hAnsi="仿宋_GB2312" w:eastAsia="仿宋_GB2312"/>
                <w:sz w:val="18"/>
                <w:szCs w:val="18"/>
              </w:rPr>
              <w:t>遇见未来的自己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》</w:t>
            </w:r>
          </w:p>
        </w:tc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梳理中学升学路径图，明晰不同升学路径的优劣势及实现方法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ascii="仿宋_GB2312" w:hAnsi="仿宋_GB2312" w:eastAsia="仿宋_GB2312"/>
                <w:sz w:val="18"/>
                <w:szCs w:val="18"/>
              </w:rPr>
              <w:t>明确未来发展目标，制定切实可行的行动计划</w:t>
            </w:r>
          </w:p>
        </w:tc>
      </w:tr>
    </w:tbl>
    <w:p>
      <w:pPr>
        <w:rPr>
          <w:rFonts w:ascii="仿宋_GB2312" w:hAnsi="方正小标宋简体" w:eastAsia="仿宋_GB2312"/>
          <w:sz w:val="24"/>
        </w:rPr>
      </w:pPr>
    </w:p>
    <w:p>
      <w:pPr>
        <w:widowControl/>
        <w:jc w:val="left"/>
        <w:rPr>
          <w:rFonts w:hint="eastAsia" w:ascii="黑体" w:hAnsi="黑体" w:eastAsia="黑体"/>
          <w:sz w:val="30"/>
          <w:szCs w:val="30"/>
        </w:rPr>
        <w:sectPr>
          <w:pgSz w:w="11906" w:h="16838"/>
          <w:pgMar w:top="1814" w:right="1797" w:bottom="1440" w:left="179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bookmarkStart w:id="0" w:name="_GoBack"/>
      <w:bookmarkEnd w:id="0"/>
    </w:p>
    <w:p>
      <w:pPr>
        <w:widowControl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报名表</w:t>
      </w:r>
    </w:p>
    <w:tbl>
      <w:tblPr>
        <w:tblStyle w:val="3"/>
        <w:tblpPr w:vertAnchor="text" w:horzAnchor="page" w:tblpX="1923" w:tblpY="238"/>
        <w:tblW w:w="86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687"/>
        <w:gridCol w:w="1288"/>
        <w:gridCol w:w="637"/>
        <w:gridCol w:w="775"/>
        <w:gridCol w:w="1476"/>
        <w:gridCol w:w="1356"/>
        <w:gridCol w:w="11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单位名称</w:t>
            </w:r>
          </w:p>
        </w:tc>
        <w:tc>
          <w:tcPr>
            <w:tcW w:w="7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5"/>
              <w:jc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性别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职称/职务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邮箱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2848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学生生涯规划教学简介</w:t>
            </w:r>
          </w:p>
          <w:p>
            <w:pPr>
              <w:tabs>
                <w:tab w:val="left" w:pos="2413"/>
              </w:tabs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（生涯规划教学理念、生涯规划教学特色）</w:t>
            </w:r>
          </w:p>
          <w:p>
            <w:pPr>
              <w:tabs>
                <w:tab w:val="left" w:pos="2413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18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生涯规划成果介绍</w:t>
            </w:r>
          </w:p>
          <w:p>
            <w:pPr>
              <w:tabs>
                <w:tab w:val="left" w:pos="2818"/>
                <w:tab w:val="left" w:pos="3493"/>
                <w:tab w:val="center" w:pos="4213"/>
              </w:tabs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（市区以上生涯规划教学研究课题、生涯规划论文、生涯规划编著、生涯规划著作类）</w:t>
            </w:r>
          </w:p>
          <w:p>
            <w:pPr>
              <w:tabs>
                <w:tab w:val="left" w:pos="2818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18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培训需求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18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发票抬头</w:t>
            </w:r>
          </w:p>
        </w:tc>
        <w:tc>
          <w:tcPr>
            <w:tcW w:w="4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2818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18"/>
              </w:tabs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纳税人识别号</w:t>
            </w:r>
          </w:p>
        </w:tc>
        <w:tc>
          <w:tcPr>
            <w:tcW w:w="4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2818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3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发票内容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（请在括号里打√）</w:t>
            </w:r>
          </w:p>
        </w:tc>
        <w:tc>
          <w:tcPr>
            <w:tcW w:w="4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b/>
                <w:sz w:val="24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费（ ）</w:t>
            </w:r>
          </w:p>
        </w:tc>
      </w:tr>
    </w:tbl>
    <w:p>
      <w:pPr>
        <w:spacing w:line="360" w:lineRule="auto"/>
        <w:rPr>
          <w:rFonts w:ascii="仿宋_GB2312" w:hAnsi="仿宋_GB2312" w:eastAsia="仿宋_GB2312"/>
          <w:sz w:val="24"/>
        </w:rPr>
      </w:pPr>
    </w:p>
    <w:tbl>
      <w:tblPr>
        <w:tblStyle w:val="4"/>
        <w:tblpPr w:leftFromText="180" w:rightFromText="180" w:vertAnchor="text" w:tblpX="10217" w:tblpY="-9325"/>
        <w:tblOverlap w:val="never"/>
        <w:tblW w:w="2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2" w:type="dxa"/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_GB2312" w:hAnsi="仿宋_GB2312" w:eastAsia="仿宋_GB2312"/>
          <w:sz w:val="24"/>
          <w:szCs w:val="24"/>
        </w:rPr>
        <w:t>备注：请于</w:t>
      </w:r>
      <w:r>
        <w:rPr>
          <w:rFonts w:hint="eastAsia" w:ascii="Times New Roman" w:hAnsi="Times New Roman" w:eastAsia="仿宋_GB2312"/>
          <w:sz w:val="24"/>
          <w:szCs w:val="24"/>
        </w:rPr>
        <w:t>2018</w:t>
      </w:r>
      <w:r>
        <w:rPr>
          <w:rFonts w:hint="eastAsia" w:ascii="仿宋_GB2312" w:hAnsi="仿宋_GB2312" w:eastAsia="仿宋_GB2312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/>
          <w:sz w:val="24"/>
          <w:szCs w:val="24"/>
        </w:rPr>
        <w:t>月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08</w:t>
      </w:r>
      <w:r>
        <w:rPr>
          <w:rFonts w:hint="eastAsia" w:ascii="仿宋_GB2312" w:hAnsi="仿宋_GB2312" w:eastAsia="仿宋_GB2312"/>
          <w:sz w:val="24"/>
          <w:szCs w:val="24"/>
        </w:rPr>
        <w:t>日前将报名表发至邮箱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peixunzhongxin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@caett.com.cn</w:t>
      </w:r>
      <w:r>
        <w:rPr>
          <w:rFonts w:hint="eastAsia" w:ascii="仿宋_GB2312" w:hAnsi="仿宋_GB2312" w:eastAsia="仿宋_GB2312"/>
          <w:sz w:val="24"/>
          <w:szCs w:val="24"/>
          <w:rPrChange w:id="0" w:author="yang" w:date="2018-05-07T08:53:40Z">
            <w:rPr>
              <w:rFonts w:hint="eastAsia" w:ascii="仿宋_GB2312" w:hAnsi="仿宋_GB2312" w:eastAsia="仿宋_GB2312"/>
              <w:sz w:val="24"/>
            </w:rPr>
          </w:rPrChange>
        </w:rPr>
        <w:t>。</w:t>
      </w:r>
    </w:p>
    <w:sectPr>
      <w:pgSz w:w="11906" w:h="16838"/>
      <w:pgMar w:top="1814" w:right="1797" w:bottom="1440" w:left="179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g">
    <w15:presenceInfo w15:providerId="None" w15:userId="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E5D2C"/>
    <w:rsid w:val="3BEE5D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e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2018-05-07T01:12:00Z</dcterms:created>
  <dc:creator>猫仙</dc:creator>
  <cp:lastModifiedBy>猫仙</cp:lastModifiedBy>
  <dcterms:modified xsi:type="dcterms:W3CDTF">2018-05-07T01:13:11Z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